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471" w:line="240" w:lineRule="auto"/>
        <w:ind w:left="5" w:firstLine="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ALT Fundraising, Donations and  </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50" w:line="240" w:lineRule="auto"/>
        <w:ind w:left="22" w:firstLine="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Legacies Policy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340" w:line="240" w:lineRule="auto"/>
        <w:ind w:left="8"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Index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32" w:line="240" w:lineRule="auto"/>
        <w:ind w:left="37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1. Introduction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32" w:line="240" w:lineRule="auto"/>
        <w:ind w:left="365"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2. Legal Requirements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30" w:line="240" w:lineRule="auto"/>
        <w:ind w:left="36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3. What is covered by this policy?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32" w:line="240" w:lineRule="auto"/>
        <w:ind w:left="35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4. ALT CIO responsibilities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32" w:line="240" w:lineRule="auto"/>
        <w:ind w:left="36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5. Fundraising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32" w:line="240" w:lineRule="auto"/>
        <w:ind w:left="36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6. Donations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30" w:line="240" w:lineRule="auto"/>
        <w:ind w:left="363"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7. Legacies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32" w:line="240" w:lineRule="auto"/>
        <w:ind w:left="36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8. Gift Aid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32" w:line="240" w:lineRule="auto"/>
        <w:ind w:left="36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9. Donor recognition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33" w:line="240" w:lineRule="auto"/>
        <w:ind w:left="37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10. Vulnerable people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30" w:line="240" w:lineRule="auto"/>
        <w:ind w:left="37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11. Complaints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35" w:line="240" w:lineRule="auto"/>
        <w:ind w:left="17" w:firstLine="0"/>
        <w:rPr>
          <w:rFonts w:ascii="Calibri" w:cs="Calibri" w:eastAsia="Calibri" w:hAnsi="Calibri"/>
          <w:color w:val="2f5496"/>
          <w:sz w:val="25"/>
          <w:szCs w:val="25"/>
        </w:rPr>
      </w:pPr>
      <w:r w:rsidDel="00000000" w:rsidR="00000000" w:rsidRPr="00000000">
        <w:rPr>
          <w:rFonts w:ascii="Calibri" w:cs="Calibri" w:eastAsia="Calibri" w:hAnsi="Calibri"/>
          <w:color w:val="2f5496"/>
          <w:sz w:val="25"/>
          <w:szCs w:val="25"/>
          <w:rtl w:val="0"/>
        </w:rPr>
        <w:t xml:space="preserve">1. Introduction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38" w:line="261.99999999999994" w:lineRule="auto"/>
        <w:ind w:left="796" w:right="20" w:hanging="424"/>
        <w:jc w:val="both"/>
        <w:rPr>
          <w:rFonts w:ascii="Calibri" w:cs="Calibri" w:eastAsia="Calibri" w:hAnsi="Calibri"/>
        </w:rPr>
      </w:pPr>
      <w:r w:rsidDel="00000000" w:rsidR="00000000" w:rsidRPr="00000000">
        <w:rPr>
          <w:rFonts w:ascii="Calibri" w:cs="Calibri" w:eastAsia="Calibri" w:hAnsi="Calibri"/>
          <w:color w:val="000000"/>
          <w:rtl w:val="0"/>
        </w:rPr>
        <w:t xml:space="preserve">1.1. </w:t>
      </w:r>
      <w:r w:rsidDel="00000000" w:rsidR="00000000" w:rsidRPr="00000000">
        <w:rPr>
          <w:rFonts w:ascii="Calibri" w:cs="Calibri" w:eastAsia="Calibri" w:hAnsi="Calibri"/>
          <w:rtl w:val="0"/>
        </w:rPr>
        <w:t xml:space="preserve">The objects of the Association are the advancement of legal education for the public benefit, in particular, but not exclusively, the development, study, understanding, and use</w:t>
      </w:r>
    </w:p>
    <w:p w:rsidR="00000000" w:rsidDel="00000000" w:rsidP="00000000" w:rsidRDefault="00000000" w:rsidRPr="00000000" w14:paraId="00000011">
      <w:pPr>
        <w:widowControl w:val="0"/>
        <w:spacing w:before="38" w:line="261.99999999999994" w:lineRule="auto"/>
        <w:ind w:left="796" w:right="20" w:hanging="424"/>
        <w:jc w:val="both"/>
        <w:rPr>
          <w:rFonts w:ascii="Calibri" w:cs="Calibri" w:eastAsia="Calibri" w:hAnsi="Calibri"/>
        </w:rPr>
      </w:pPr>
      <w:r w:rsidDel="00000000" w:rsidR="00000000" w:rsidRPr="00000000">
        <w:rPr>
          <w:rFonts w:ascii="Calibri" w:cs="Calibri" w:eastAsia="Calibri" w:hAnsi="Calibri"/>
          <w:rtl w:val="0"/>
        </w:rPr>
        <w:t xml:space="preserve">of the educational aspects of law and its teaching and other forms of dissemination</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38" w:line="261.99999999999994" w:lineRule="auto"/>
        <w:ind w:left="796" w:right="20" w:hanging="42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 set out in clause  3 of the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color w:val="000000"/>
          <w:rtl w:val="0"/>
        </w:rPr>
        <w:t xml:space="preserve">onstitution. This policy is understood in the light of the objects and procedures of  the ALT set out in the constitution.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32" w:line="261" w:lineRule="auto"/>
        <w:ind w:left="789" w:right="92" w:hanging="417"/>
        <w:rPr>
          <w:rFonts w:ascii="Calibri" w:cs="Calibri" w:eastAsia="Calibri" w:hAnsi="Calibri"/>
          <w:color w:val="000000"/>
        </w:rPr>
      </w:pPr>
      <w:r w:rsidDel="00000000" w:rsidR="00000000" w:rsidRPr="00000000">
        <w:rPr>
          <w:rFonts w:ascii="Calibri" w:cs="Calibri" w:eastAsia="Calibri" w:hAnsi="Calibri"/>
          <w:color w:val="000000"/>
          <w:rtl w:val="0"/>
        </w:rPr>
        <w:t xml:space="preserve">1.2. </w:t>
      </w:r>
      <w:r w:rsidDel="00000000" w:rsidR="00000000" w:rsidRPr="00000000">
        <w:rPr>
          <w:rFonts w:ascii="Calibri" w:cs="Calibri" w:eastAsia="Calibri" w:hAnsi="Calibri"/>
          <w:color w:val="000000"/>
          <w:rtl w:val="0"/>
        </w:rPr>
        <w:t xml:space="preserve">Under clause 4(</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color w:val="000000"/>
          <w:rtl w:val="0"/>
        </w:rPr>
        <w:t xml:space="preserve">) of the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color w:val="000000"/>
          <w:rtl w:val="0"/>
        </w:rPr>
        <w:t xml:space="preserve">onstitution, the ALT has the power to obtain, collect and receive  funds by way of grants, donations, subscriptions, legacies and other lawful methods, and  </w:t>
      </w:r>
      <w:r w:rsidDel="00000000" w:rsidR="00000000" w:rsidRPr="00000000">
        <w:rPr>
          <w:rFonts w:ascii="Calibri" w:cs="Calibri" w:eastAsia="Calibri" w:hAnsi="Calibri"/>
          <w:color w:val="000000"/>
          <w:rtl w:val="0"/>
        </w:rPr>
        <w:t xml:space="preserve">apply such funds to the furtherance of the objects and not otherwise.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12" w:line="263.00000000000006" w:lineRule="auto"/>
        <w:ind w:left="9" w:right="183" w:firstLine="362"/>
        <w:rPr>
          <w:rFonts w:ascii="Calibri" w:cs="Calibri" w:eastAsia="Calibri" w:hAnsi="Calibri"/>
          <w:color w:val="000000"/>
        </w:rPr>
      </w:pPr>
      <w:r w:rsidDel="00000000" w:rsidR="00000000" w:rsidRPr="00000000">
        <w:rPr>
          <w:rFonts w:ascii="Calibri" w:cs="Calibri" w:eastAsia="Calibri" w:hAnsi="Calibri"/>
          <w:color w:val="000000"/>
          <w:rtl w:val="0"/>
        </w:rPr>
        <w:t xml:space="preserve">1.3. The ALT sets out in </w:t>
      </w:r>
      <w:r w:rsidDel="00000000" w:rsidR="00000000" w:rsidRPr="00000000">
        <w:rPr>
          <w:rFonts w:ascii="Calibri" w:cs="Calibri" w:eastAsia="Calibri" w:hAnsi="Calibri"/>
          <w:rtl w:val="0"/>
        </w:rPr>
        <w:t xml:space="preserve">this</w:t>
      </w:r>
      <w:r w:rsidDel="00000000" w:rsidR="00000000" w:rsidRPr="00000000">
        <w:rPr>
          <w:rFonts w:ascii="Calibri" w:cs="Calibri" w:eastAsia="Calibri" w:hAnsi="Calibri"/>
          <w:color w:val="000000"/>
          <w:rtl w:val="0"/>
        </w:rPr>
        <w:t xml:space="preserve"> policy the rules and guidelines it operates within, and  commits to the furtherance of its </w:t>
      </w:r>
      <w:r w:rsidDel="00000000" w:rsidR="00000000" w:rsidRPr="00000000">
        <w:rPr>
          <w:rFonts w:ascii="Calibri" w:cs="Calibri" w:eastAsia="Calibri" w:hAnsi="Calibri"/>
          <w:color w:val="000000"/>
          <w:rtl w:val="0"/>
        </w:rPr>
        <w:t xml:space="preserve">objects</w:t>
      </w:r>
      <w:r w:rsidDel="00000000" w:rsidR="00000000" w:rsidRPr="00000000">
        <w:rPr>
          <w:rFonts w:ascii="Calibri" w:cs="Calibri" w:eastAsia="Calibri" w:hAnsi="Calibri"/>
          <w:color w:val="000000"/>
          <w:rtl w:val="0"/>
        </w:rPr>
        <w:t xml:space="preserve"> in good faith, transparency and fairness.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12" w:line="263.00000000000006" w:lineRule="auto"/>
        <w:ind w:right="183" w:firstLine="362"/>
        <w:rPr>
          <w:rFonts w:ascii="Calibri" w:cs="Calibri" w:eastAsia="Calibri" w:hAnsi="Calibri"/>
          <w:color w:val="2f5496"/>
          <w:sz w:val="25"/>
          <w:szCs w:val="25"/>
        </w:rPr>
      </w:pPr>
      <w:r w:rsidDel="00000000" w:rsidR="00000000" w:rsidRPr="00000000">
        <w:rPr>
          <w:rFonts w:ascii="Calibri" w:cs="Calibri" w:eastAsia="Calibri" w:hAnsi="Calibri"/>
          <w:color w:val="2f5496"/>
          <w:sz w:val="25"/>
          <w:szCs w:val="25"/>
          <w:rtl w:val="0"/>
        </w:rPr>
        <w:t xml:space="preserve">2. Legal Requirements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23" w:line="261.99999999999994" w:lineRule="auto"/>
        <w:ind w:left="795" w:right="239" w:hanging="429"/>
        <w:rPr>
          <w:rFonts w:ascii="Calibri" w:cs="Calibri" w:eastAsia="Calibri" w:hAnsi="Calibri"/>
          <w:color w:val="000000"/>
        </w:rPr>
      </w:pPr>
      <w:r w:rsidDel="00000000" w:rsidR="00000000" w:rsidRPr="00000000">
        <w:rPr>
          <w:rFonts w:ascii="Calibri" w:cs="Calibri" w:eastAsia="Calibri" w:hAnsi="Calibri"/>
          <w:color w:val="000000"/>
          <w:rtl w:val="0"/>
        </w:rPr>
        <w:t xml:space="preserve">2.1. This policy and related procedures are to be understood in accordance with the following  documents: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1" w:line="240" w:lineRule="auto"/>
        <w:ind w:left="725"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2.1.1. ALT CIO Constitution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30" w:line="240" w:lineRule="auto"/>
        <w:ind w:left="725"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2.1.2. All relevant policies to be found on the ALT website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32" w:line="261.99999999999994" w:lineRule="auto"/>
        <w:ind w:left="790" w:right="338" w:hanging="425"/>
        <w:rPr>
          <w:rFonts w:ascii="Calibri" w:cs="Calibri" w:eastAsia="Calibri" w:hAnsi="Calibri"/>
          <w:color w:val="000000"/>
        </w:rPr>
      </w:pPr>
      <w:r w:rsidDel="00000000" w:rsidR="00000000" w:rsidRPr="00000000">
        <w:rPr>
          <w:rFonts w:ascii="Calibri" w:cs="Calibri" w:eastAsia="Calibri" w:hAnsi="Calibri"/>
          <w:color w:val="000000"/>
          <w:rtl w:val="0"/>
        </w:rPr>
        <w:t xml:space="preserve">2.2. This policy and related procedures comply with, and are to be interpreted in accordance  with the following: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11" w:line="240" w:lineRule="auto"/>
        <w:ind w:left="725" w:firstLine="0"/>
        <w:rPr>
          <w:rFonts w:ascii="Calibri" w:cs="Calibri" w:eastAsia="Calibri" w:hAnsi="Calibri"/>
          <w:color w:val="0563c1"/>
        </w:rPr>
      </w:pPr>
      <w:r w:rsidDel="00000000" w:rsidR="00000000" w:rsidRPr="00000000">
        <w:rPr>
          <w:rFonts w:ascii="Calibri" w:cs="Calibri" w:eastAsia="Calibri" w:hAnsi="Calibri"/>
          <w:color w:val="000000"/>
          <w:rtl w:val="0"/>
        </w:rPr>
        <w:t xml:space="preserve">2.2.1. </w:t>
      </w:r>
      <w:r w:rsidDel="00000000" w:rsidR="00000000" w:rsidRPr="00000000">
        <w:rPr>
          <w:rFonts w:ascii="Calibri" w:cs="Calibri" w:eastAsia="Calibri" w:hAnsi="Calibri"/>
          <w:color w:val="0563c1"/>
          <w:u w:val="single"/>
          <w:rtl w:val="0"/>
        </w:rPr>
        <w:t xml:space="preserve">Charities Act 2011</w:t>
      </w:r>
      <w:r w:rsidDel="00000000" w:rsidR="00000000" w:rsidRPr="00000000">
        <w:rPr>
          <w:rFonts w:ascii="Calibri" w:cs="Calibri" w:eastAsia="Calibri" w:hAnsi="Calibri"/>
          <w:color w:val="0563c1"/>
          <w:rtl w:val="0"/>
        </w:rPr>
        <w:t xml:space="preserve">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30" w:line="240" w:lineRule="auto"/>
        <w:ind w:left="725" w:firstLine="0"/>
        <w:rPr>
          <w:rFonts w:ascii="Calibri" w:cs="Calibri" w:eastAsia="Calibri" w:hAnsi="Calibri"/>
          <w:color w:val="0563c1"/>
        </w:rPr>
      </w:pPr>
      <w:r w:rsidDel="00000000" w:rsidR="00000000" w:rsidRPr="00000000">
        <w:rPr>
          <w:rFonts w:ascii="Calibri" w:cs="Calibri" w:eastAsia="Calibri" w:hAnsi="Calibri"/>
          <w:color w:val="000000"/>
          <w:rtl w:val="0"/>
        </w:rPr>
        <w:t xml:space="preserve">2.2.2. </w:t>
      </w:r>
      <w:r w:rsidDel="00000000" w:rsidR="00000000" w:rsidRPr="00000000">
        <w:rPr>
          <w:rFonts w:ascii="Calibri" w:cs="Calibri" w:eastAsia="Calibri" w:hAnsi="Calibri"/>
          <w:color w:val="0563c1"/>
          <w:u w:val="single"/>
          <w:rtl w:val="0"/>
        </w:rPr>
        <w:t xml:space="preserve">Data Protection Act 2018</w:t>
      </w:r>
      <w:r w:rsidDel="00000000" w:rsidR="00000000" w:rsidRPr="00000000">
        <w:rPr>
          <w:rFonts w:ascii="Calibri" w:cs="Calibri" w:eastAsia="Calibri" w:hAnsi="Calibri"/>
          <w:color w:val="0563c1"/>
          <w:rtl w:val="0"/>
        </w:rPr>
        <w:t xml:space="preserve">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32" w:line="240" w:lineRule="auto"/>
        <w:ind w:left="725" w:firstLine="0"/>
        <w:rPr>
          <w:rFonts w:ascii="Calibri" w:cs="Calibri" w:eastAsia="Calibri" w:hAnsi="Calibri"/>
          <w:color w:val="0563c1"/>
        </w:rPr>
      </w:pPr>
      <w:r w:rsidDel="00000000" w:rsidR="00000000" w:rsidRPr="00000000">
        <w:rPr>
          <w:rFonts w:ascii="Calibri" w:cs="Calibri" w:eastAsia="Calibri" w:hAnsi="Calibri"/>
          <w:color w:val="0563c1"/>
          <w:rtl w:val="0"/>
        </w:rPr>
        <w:t xml:space="preserve">2.2.3. </w:t>
      </w:r>
      <w:r w:rsidDel="00000000" w:rsidR="00000000" w:rsidRPr="00000000">
        <w:rPr>
          <w:rFonts w:ascii="Calibri" w:cs="Calibri" w:eastAsia="Calibri" w:hAnsi="Calibri"/>
          <w:color w:val="0563c1"/>
          <w:u w:val="single"/>
          <w:rtl w:val="0"/>
        </w:rPr>
        <w:t xml:space="preserve">General Data Protection Regulation (EU) 2016/679</w:t>
      </w:r>
      <w:r w:rsidDel="00000000" w:rsidR="00000000" w:rsidRPr="00000000">
        <w:rPr>
          <w:rFonts w:ascii="Calibri" w:cs="Calibri" w:eastAsia="Calibri" w:hAnsi="Calibri"/>
          <w:color w:val="0563c1"/>
          <w:rtl w:val="0"/>
        </w:rPr>
        <w:t xml:space="preserve">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32" w:line="240" w:lineRule="auto"/>
        <w:ind w:left="725" w:firstLine="0"/>
        <w:rPr>
          <w:rFonts w:ascii="Calibri" w:cs="Calibri" w:eastAsia="Calibri" w:hAnsi="Calibri"/>
          <w:color w:val="0563c1"/>
        </w:rPr>
      </w:pPr>
      <w:r w:rsidDel="00000000" w:rsidR="00000000" w:rsidRPr="00000000">
        <w:rPr>
          <w:rFonts w:ascii="Calibri" w:cs="Calibri" w:eastAsia="Calibri" w:hAnsi="Calibri"/>
          <w:color w:val="000000"/>
          <w:rtl w:val="0"/>
        </w:rPr>
        <w:t xml:space="preserve">2.2.4. </w:t>
      </w:r>
      <w:r w:rsidDel="00000000" w:rsidR="00000000" w:rsidRPr="00000000">
        <w:rPr>
          <w:rFonts w:ascii="Calibri" w:cs="Calibri" w:eastAsia="Calibri" w:hAnsi="Calibri"/>
          <w:color w:val="0563c1"/>
          <w:u w:val="single"/>
          <w:rtl w:val="0"/>
        </w:rPr>
        <w:t xml:space="preserve">European Union (Withdrawal) Act 2018</w:t>
      </w:r>
      <w:r w:rsidDel="00000000" w:rsidR="00000000" w:rsidRPr="00000000">
        <w:rPr>
          <w:rFonts w:ascii="Calibri" w:cs="Calibri" w:eastAsia="Calibri" w:hAnsi="Calibri"/>
          <w:color w:val="0563c1"/>
          <w:rtl w:val="0"/>
        </w:rPr>
        <w:t xml:space="preserve">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32" w:line="240" w:lineRule="auto"/>
        <w:ind w:left="725" w:firstLine="0"/>
        <w:rPr>
          <w:rFonts w:ascii="Calibri" w:cs="Calibri" w:eastAsia="Calibri" w:hAnsi="Calibri"/>
          <w:color w:val="0563c1"/>
        </w:rPr>
      </w:pPr>
      <w:r w:rsidDel="00000000" w:rsidR="00000000" w:rsidRPr="00000000">
        <w:rPr>
          <w:rFonts w:ascii="Calibri" w:cs="Calibri" w:eastAsia="Calibri" w:hAnsi="Calibri"/>
          <w:color w:val="000000"/>
          <w:rtl w:val="0"/>
        </w:rPr>
        <w:t xml:space="preserve">2.2.5. </w:t>
      </w:r>
      <w:r w:rsidDel="00000000" w:rsidR="00000000" w:rsidRPr="00000000">
        <w:rPr>
          <w:rFonts w:ascii="Calibri" w:cs="Calibri" w:eastAsia="Calibri" w:hAnsi="Calibri"/>
          <w:color w:val="0563c1"/>
          <w:u w:val="single"/>
          <w:rtl w:val="0"/>
        </w:rPr>
        <w:t xml:space="preserve">Safeguarding Vulnerable Groups Act 2006</w:t>
      </w:r>
      <w:r w:rsidDel="00000000" w:rsidR="00000000" w:rsidRPr="00000000">
        <w:rPr>
          <w:rFonts w:ascii="Calibri" w:cs="Calibri" w:eastAsia="Calibri" w:hAnsi="Calibri"/>
          <w:color w:val="0563c1"/>
          <w:rtl w:val="0"/>
        </w:rPr>
        <w:t xml:space="preserve">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30" w:line="240" w:lineRule="auto"/>
        <w:ind w:left="725" w:firstLine="0"/>
        <w:rPr>
          <w:rFonts w:ascii="Calibri" w:cs="Calibri" w:eastAsia="Calibri" w:hAnsi="Calibri"/>
          <w:color w:val="0563c1"/>
        </w:rPr>
      </w:pPr>
      <w:r w:rsidDel="00000000" w:rsidR="00000000" w:rsidRPr="00000000">
        <w:rPr>
          <w:rFonts w:ascii="Calibri" w:cs="Calibri" w:eastAsia="Calibri" w:hAnsi="Calibri"/>
          <w:color w:val="000000"/>
          <w:rtl w:val="0"/>
        </w:rPr>
        <w:t xml:space="preserve">2.2.6. </w:t>
      </w:r>
      <w:r w:rsidDel="00000000" w:rsidR="00000000" w:rsidRPr="00000000">
        <w:rPr>
          <w:rFonts w:ascii="Calibri" w:cs="Calibri" w:eastAsia="Calibri" w:hAnsi="Calibri"/>
          <w:color w:val="0563c1"/>
          <w:u w:val="single"/>
          <w:rtl w:val="0"/>
        </w:rPr>
        <w:t xml:space="preserve">Equality Act 2010</w:t>
      </w:r>
      <w:r w:rsidDel="00000000" w:rsidR="00000000" w:rsidRPr="00000000">
        <w:rPr>
          <w:rFonts w:ascii="Calibri" w:cs="Calibri" w:eastAsia="Calibri" w:hAnsi="Calibri"/>
          <w:color w:val="0563c1"/>
          <w:rtl w:val="0"/>
        </w:rPr>
        <w:t xml:space="preserve">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33" w:line="240" w:lineRule="auto"/>
        <w:ind w:left="725" w:firstLine="0"/>
        <w:rPr>
          <w:rFonts w:ascii="Calibri" w:cs="Calibri" w:eastAsia="Calibri" w:hAnsi="Calibri"/>
          <w:color w:val="0563c1"/>
        </w:rPr>
      </w:pPr>
      <w:r w:rsidDel="00000000" w:rsidR="00000000" w:rsidRPr="00000000">
        <w:rPr>
          <w:rFonts w:ascii="Calibri" w:cs="Calibri" w:eastAsia="Calibri" w:hAnsi="Calibri"/>
          <w:color w:val="000000"/>
          <w:rtl w:val="0"/>
        </w:rPr>
        <w:t xml:space="preserve">2.2.7. </w:t>
      </w:r>
      <w:r w:rsidDel="00000000" w:rsidR="00000000" w:rsidRPr="00000000">
        <w:rPr>
          <w:rFonts w:ascii="Calibri" w:cs="Calibri" w:eastAsia="Calibri" w:hAnsi="Calibri"/>
          <w:color w:val="0563c1"/>
          <w:u w:val="single"/>
          <w:rtl w:val="0"/>
        </w:rPr>
        <w:t xml:space="preserve">Payment Card Industry Data Security Standards (PCI DSS)</w:t>
      </w:r>
      <w:r w:rsidDel="00000000" w:rsidR="00000000" w:rsidRPr="00000000">
        <w:rPr>
          <w:rFonts w:ascii="Calibri" w:cs="Calibri" w:eastAsia="Calibri" w:hAnsi="Calibri"/>
          <w:color w:val="0563c1"/>
          <w:rtl w:val="0"/>
        </w:rPr>
        <w:t xml:space="preserve">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32" w:line="240" w:lineRule="auto"/>
        <w:ind w:left="725" w:firstLine="0"/>
        <w:rPr>
          <w:rFonts w:ascii="Calibri" w:cs="Calibri" w:eastAsia="Calibri" w:hAnsi="Calibri"/>
          <w:color w:val="0563c1"/>
        </w:rPr>
      </w:pPr>
      <w:r w:rsidDel="00000000" w:rsidR="00000000" w:rsidRPr="00000000">
        <w:rPr>
          <w:rFonts w:ascii="Calibri" w:cs="Calibri" w:eastAsia="Calibri" w:hAnsi="Calibri"/>
          <w:color w:val="000000"/>
          <w:rtl w:val="0"/>
        </w:rPr>
        <w:t xml:space="preserve">2.2.8. </w:t>
      </w:r>
      <w:r w:rsidDel="00000000" w:rsidR="00000000" w:rsidRPr="00000000">
        <w:rPr>
          <w:rFonts w:ascii="Calibri" w:cs="Calibri" w:eastAsia="Calibri" w:hAnsi="Calibri"/>
          <w:color w:val="0563c1"/>
          <w:u w:val="single"/>
          <w:rtl w:val="0"/>
        </w:rPr>
        <w:t xml:space="preserve">Fundraising Regulator Code of Fundraising Practice</w:t>
      </w:r>
      <w:r w:rsidDel="00000000" w:rsidR="00000000" w:rsidRPr="00000000">
        <w:rPr>
          <w:rFonts w:ascii="Calibri" w:cs="Calibri" w:eastAsia="Calibri" w:hAnsi="Calibri"/>
          <w:color w:val="0563c1"/>
          <w:rtl w:val="0"/>
        </w:rPr>
        <w:t xml:space="preserv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32" w:line="240" w:lineRule="auto"/>
        <w:ind w:left="725" w:firstLine="0"/>
        <w:rPr>
          <w:rFonts w:ascii="Calibri" w:cs="Calibri" w:eastAsia="Calibri" w:hAnsi="Calibri"/>
          <w:color w:val="0563c1"/>
        </w:rPr>
      </w:pPr>
      <w:r w:rsidDel="00000000" w:rsidR="00000000" w:rsidRPr="00000000">
        <w:rPr>
          <w:rFonts w:ascii="Calibri" w:cs="Calibri" w:eastAsia="Calibri" w:hAnsi="Calibri"/>
          <w:color w:val="000000"/>
          <w:rtl w:val="0"/>
        </w:rPr>
        <w:t xml:space="preserve">2.2.9. </w:t>
      </w:r>
      <w:r w:rsidDel="00000000" w:rsidR="00000000" w:rsidRPr="00000000">
        <w:rPr>
          <w:rFonts w:ascii="Calibri" w:cs="Calibri" w:eastAsia="Calibri" w:hAnsi="Calibri"/>
          <w:color w:val="0563c1"/>
          <w:u w:val="single"/>
          <w:rtl w:val="0"/>
        </w:rPr>
        <w:t xml:space="preserve">Institute of Fundraising Treating People Fairly Guidance</w:t>
      </w:r>
      <w:r w:rsidDel="00000000" w:rsidR="00000000" w:rsidRPr="00000000">
        <w:rPr>
          <w:rFonts w:ascii="Calibri" w:cs="Calibri" w:eastAsia="Calibri" w:hAnsi="Calibri"/>
          <w:color w:val="0563c1"/>
          <w:rtl w:val="0"/>
        </w:rPr>
        <w:t xml:space="preserv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30" w:line="240" w:lineRule="auto"/>
        <w:ind w:left="725"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2.2.10. </w:t>
      </w:r>
      <w:r w:rsidDel="00000000" w:rsidR="00000000" w:rsidRPr="00000000">
        <w:rPr>
          <w:rFonts w:ascii="Calibri" w:cs="Calibri" w:eastAsia="Calibri" w:hAnsi="Calibri"/>
          <w:color w:val="0563c1"/>
          <w:u w:val="single"/>
          <w:rtl w:val="0"/>
        </w:rPr>
        <w:t xml:space="preserve">Information Commissioner’s Office</w:t>
      </w:r>
      <w:r w:rsidDel="00000000" w:rsidR="00000000" w:rsidRPr="00000000">
        <w:rPr>
          <w:rFonts w:ascii="Calibri" w:cs="Calibri" w:eastAsia="Calibri" w:hAnsi="Calibri"/>
          <w:color w:val="0563c1"/>
          <w:rtl w:val="0"/>
        </w:rPr>
        <w:t xml:space="preserve"> </w:t>
      </w:r>
      <w:r w:rsidDel="00000000" w:rsidR="00000000" w:rsidRPr="00000000">
        <w:rPr>
          <w:rFonts w:ascii="Calibri" w:cs="Calibri" w:eastAsia="Calibri" w:hAnsi="Calibri"/>
          <w:color w:val="000000"/>
          <w:rtl w:val="0"/>
        </w:rPr>
        <w:t xml:space="preserve">Guidance on Individual Rights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32" w:line="240" w:lineRule="auto"/>
        <w:ind w:left="725" w:firstLine="0"/>
        <w:rPr>
          <w:rFonts w:ascii="Calibri" w:cs="Calibri" w:eastAsia="Calibri" w:hAnsi="Calibri"/>
          <w:color w:val="0563c1"/>
        </w:rPr>
      </w:pPr>
      <w:r w:rsidDel="00000000" w:rsidR="00000000" w:rsidRPr="00000000">
        <w:rPr>
          <w:rFonts w:ascii="Calibri" w:cs="Calibri" w:eastAsia="Calibri" w:hAnsi="Calibri"/>
          <w:color w:val="000000"/>
          <w:rtl w:val="0"/>
        </w:rPr>
        <w:t xml:space="preserve">2.2.11. </w:t>
      </w:r>
      <w:r w:rsidDel="00000000" w:rsidR="00000000" w:rsidRPr="00000000">
        <w:rPr>
          <w:rFonts w:ascii="Calibri" w:cs="Calibri" w:eastAsia="Calibri" w:hAnsi="Calibri"/>
          <w:color w:val="0563c1"/>
          <w:u w:val="single"/>
          <w:rtl w:val="0"/>
        </w:rPr>
        <w:t xml:space="preserve">Bribery Act 2010</w:t>
      </w:r>
      <w:r w:rsidDel="00000000" w:rsidR="00000000" w:rsidRPr="00000000">
        <w:rPr>
          <w:rFonts w:ascii="Calibri" w:cs="Calibri" w:eastAsia="Calibri" w:hAnsi="Calibri"/>
          <w:color w:val="0563c1"/>
          <w:rtl w:val="0"/>
        </w:rPr>
        <w:t xml:space="preserve">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32" w:line="240" w:lineRule="auto"/>
        <w:ind w:left="725" w:firstLine="0"/>
        <w:rPr>
          <w:rFonts w:ascii="Calibri" w:cs="Calibri" w:eastAsia="Calibri" w:hAnsi="Calibri"/>
          <w:color w:val="0563c1"/>
          <w:u w:val="single"/>
        </w:rPr>
      </w:pPr>
      <w:r w:rsidDel="00000000" w:rsidR="00000000" w:rsidRPr="00000000">
        <w:rPr>
          <w:rFonts w:ascii="Calibri" w:cs="Calibri" w:eastAsia="Calibri" w:hAnsi="Calibri"/>
          <w:color w:val="000000"/>
          <w:rtl w:val="0"/>
        </w:rPr>
        <w:t xml:space="preserve">2.2.12. </w:t>
      </w:r>
      <w:r w:rsidDel="00000000" w:rsidR="00000000" w:rsidRPr="00000000">
        <w:rPr>
          <w:rFonts w:ascii="Calibri" w:cs="Calibri" w:eastAsia="Calibri" w:hAnsi="Calibri"/>
          <w:color w:val="0563c1"/>
          <w:u w:val="single"/>
          <w:rtl w:val="0"/>
        </w:rPr>
        <w:t xml:space="preserve">Mental Capacity Act 2005</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553" w:line="240" w:lineRule="auto"/>
        <w:ind w:right="34"/>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476" w:line="240" w:lineRule="auto"/>
        <w:ind w:left="7" w:firstLine="0"/>
        <w:rPr>
          <w:rFonts w:ascii="Calibri" w:cs="Calibri" w:eastAsia="Calibri" w:hAnsi="Calibri"/>
          <w:color w:val="2f5496"/>
          <w:sz w:val="25"/>
          <w:szCs w:val="25"/>
        </w:rPr>
      </w:pPr>
      <w:r w:rsidDel="00000000" w:rsidR="00000000" w:rsidRPr="00000000">
        <w:rPr>
          <w:rFonts w:ascii="Calibri" w:cs="Calibri" w:eastAsia="Calibri" w:hAnsi="Calibri"/>
          <w:color w:val="2f5496"/>
          <w:sz w:val="25"/>
          <w:szCs w:val="25"/>
          <w:rtl w:val="0"/>
        </w:rPr>
        <w:t xml:space="preserve">3. What is covered by this policy?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38" w:line="240" w:lineRule="auto"/>
        <w:ind w:left="36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3.1. This policy covers: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30" w:line="240" w:lineRule="auto"/>
        <w:ind w:left="72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3.1.1. money raised through fundraising,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32" w:line="240" w:lineRule="auto"/>
        <w:ind w:left="72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3.1.2. gifts,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32" w:line="240" w:lineRule="auto"/>
        <w:ind w:left="72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3.1.3. donations,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32" w:line="240" w:lineRule="auto"/>
        <w:ind w:left="72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3.1.4. legacies,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30" w:line="240" w:lineRule="auto"/>
        <w:ind w:left="72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3.1.5. trusts,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32" w:line="240" w:lineRule="auto"/>
        <w:ind w:left="72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3.1.6. sponsorship,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32" w:line="240" w:lineRule="auto"/>
        <w:ind w:left="72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3.1.7. gifts-in-kind (such as property or tangible personal property),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32" w:line="240" w:lineRule="auto"/>
        <w:ind w:left="72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3.1.8. shares or bonds,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32" w:line="240" w:lineRule="auto"/>
        <w:ind w:left="72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3.1.9. pledges (such as Fixed Crowdfunding),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30" w:line="261.99999999999994" w:lineRule="auto"/>
        <w:ind w:left="1221" w:right="567" w:hanging="495.99999999999994"/>
        <w:rPr>
          <w:rFonts w:ascii="Calibri" w:cs="Calibri" w:eastAsia="Calibri" w:hAnsi="Calibri"/>
          <w:color w:val="000000"/>
        </w:rPr>
      </w:pPr>
      <w:r w:rsidDel="00000000" w:rsidR="00000000" w:rsidRPr="00000000">
        <w:rPr>
          <w:rFonts w:ascii="Calibri" w:cs="Calibri" w:eastAsia="Calibri" w:hAnsi="Calibri"/>
          <w:color w:val="000000"/>
          <w:rtl w:val="0"/>
        </w:rPr>
        <w:t xml:space="preserve">3.1.10. or any other form of charitable donation made to the ALT for the purposes of  furthering the objects of the CIO.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14" w:line="240" w:lineRule="auto"/>
        <w:rPr>
          <w:rFonts w:ascii="Calibri" w:cs="Calibri" w:eastAsia="Calibri" w:hAnsi="Calibri"/>
          <w:color w:val="2f5496"/>
          <w:sz w:val="25"/>
          <w:szCs w:val="25"/>
        </w:rPr>
      </w:pPr>
      <w:r w:rsidDel="00000000" w:rsidR="00000000" w:rsidRPr="00000000">
        <w:rPr>
          <w:rFonts w:ascii="Calibri" w:cs="Calibri" w:eastAsia="Calibri" w:hAnsi="Calibri"/>
          <w:color w:val="2f5496"/>
          <w:sz w:val="25"/>
          <w:szCs w:val="25"/>
          <w:rtl w:val="0"/>
        </w:rPr>
        <w:t xml:space="preserve">4. ALT CIO responsibilities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36" w:line="261.99999999999994" w:lineRule="auto"/>
        <w:ind w:left="358" w:right="133"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4.1. Charitable funds are subject to a range of rules and guidance. The management of these  funds is the responsibility of the Board of Trustees of the ALT who delegate responsibility  to the Board team and/or individual members of the Board in the fulfilment of their duties.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1" w:line="261.99999999999994" w:lineRule="auto"/>
        <w:ind w:left="799" w:right="914" w:hanging="441"/>
        <w:rPr>
          <w:rFonts w:ascii="Calibri" w:cs="Calibri" w:eastAsia="Calibri" w:hAnsi="Calibri"/>
          <w:color w:val="000000"/>
        </w:rPr>
      </w:pPr>
      <w:r w:rsidDel="00000000" w:rsidR="00000000" w:rsidRPr="00000000">
        <w:rPr>
          <w:rFonts w:ascii="Calibri" w:cs="Calibri" w:eastAsia="Calibri" w:hAnsi="Calibri"/>
          <w:color w:val="000000"/>
          <w:rtl w:val="0"/>
        </w:rPr>
        <w:t xml:space="preserve">4.2. Available means of giving will be updated on the ALT website where you can find  information on how to support the ALT.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11" w:line="240" w:lineRule="auto"/>
        <w:ind w:left="6" w:firstLine="0"/>
        <w:rPr>
          <w:rFonts w:ascii="Calibri" w:cs="Calibri" w:eastAsia="Calibri" w:hAnsi="Calibri"/>
          <w:color w:val="2f5496"/>
          <w:sz w:val="25"/>
          <w:szCs w:val="25"/>
        </w:rPr>
      </w:pPr>
      <w:r w:rsidDel="00000000" w:rsidR="00000000" w:rsidRPr="00000000">
        <w:rPr>
          <w:rFonts w:ascii="Calibri" w:cs="Calibri" w:eastAsia="Calibri" w:hAnsi="Calibri"/>
          <w:color w:val="2f5496"/>
          <w:sz w:val="25"/>
          <w:szCs w:val="25"/>
          <w:rtl w:val="0"/>
        </w:rPr>
        <w:t xml:space="preserve">5. Fundraising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38" w:line="261.99999999999994" w:lineRule="auto"/>
        <w:ind w:left="801" w:right="350" w:hanging="436"/>
        <w:rPr>
          <w:rFonts w:ascii="Calibri" w:cs="Calibri" w:eastAsia="Calibri" w:hAnsi="Calibri"/>
          <w:color w:val="000000"/>
        </w:rPr>
      </w:pPr>
      <w:r w:rsidDel="00000000" w:rsidR="00000000" w:rsidRPr="00000000">
        <w:rPr>
          <w:rFonts w:ascii="Calibri" w:cs="Calibri" w:eastAsia="Calibri" w:hAnsi="Calibri"/>
          <w:color w:val="000000"/>
          <w:rtl w:val="0"/>
        </w:rPr>
        <w:t xml:space="preserve">5.1. The ALT may undertake campaigns to fundraise in the pursuit of its objects. This will be  undertaken with the approval of the Trustees.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11" w:line="261.99999999999994" w:lineRule="auto"/>
        <w:ind w:left="790" w:right="-6" w:hanging="426"/>
        <w:rPr>
          <w:rFonts w:ascii="Calibri" w:cs="Calibri" w:eastAsia="Calibri" w:hAnsi="Calibri"/>
          <w:color w:val="000000"/>
        </w:rPr>
      </w:pPr>
      <w:r w:rsidDel="00000000" w:rsidR="00000000" w:rsidRPr="00000000">
        <w:rPr>
          <w:rFonts w:ascii="Calibri" w:cs="Calibri" w:eastAsia="Calibri" w:hAnsi="Calibri"/>
          <w:color w:val="000000"/>
          <w:rtl w:val="0"/>
        </w:rPr>
        <w:t xml:space="preserve">5.2. The ALT will make clear the purpose and nature of the fundraising, in accordance with the  best practice guidelines set out in the Institute of Fundraising’s </w:t>
      </w:r>
      <w:r w:rsidDel="00000000" w:rsidR="00000000" w:rsidRPr="00000000">
        <w:rPr>
          <w:rFonts w:ascii="Calibri" w:cs="Calibri" w:eastAsia="Calibri" w:hAnsi="Calibri"/>
          <w:color w:val="0563c1"/>
          <w:u w:val="single"/>
          <w:rtl w:val="0"/>
        </w:rPr>
        <w:t xml:space="preserve">Practical Guide to Dealing </w:t>
      </w:r>
      <w:r w:rsidDel="00000000" w:rsidR="00000000" w:rsidRPr="00000000">
        <w:rPr>
          <w:rFonts w:ascii="Calibri" w:cs="Calibri" w:eastAsia="Calibri" w:hAnsi="Calibri"/>
          <w:color w:val="0563c1"/>
          <w:rtl w:val="0"/>
        </w:rPr>
        <w:t xml:space="preserve"> </w:t>
      </w:r>
      <w:r w:rsidDel="00000000" w:rsidR="00000000" w:rsidRPr="00000000">
        <w:rPr>
          <w:rFonts w:ascii="Calibri" w:cs="Calibri" w:eastAsia="Calibri" w:hAnsi="Calibri"/>
          <w:color w:val="0563c1"/>
          <w:u w:val="single"/>
          <w:rtl w:val="0"/>
        </w:rPr>
        <w:t xml:space="preserve">with Donations</w:t>
      </w:r>
      <w:r w:rsidDel="00000000" w:rsidR="00000000" w:rsidRPr="00000000">
        <w:rPr>
          <w:rFonts w:ascii="Calibri" w:cs="Calibri" w:eastAsia="Calibri" w:hAnsi="Calibri"/>
          <w:color w:val="000000"/>
          <w:rtl w:val="0"/>
        </w:rPr>
        <w:t xml:space="preserve">. Clear targets and realistic goals will be set out, with contingency planning in  place for if insufficient or surplus funds are received.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12" w:line="260" w:lineRule="auto"/>
        <w:ind w:left="801" w:right="747" w:hanging="437"/>
        <w:rPr>
          <w:rFonts w:ascii="Calibri" w:cs="Calibri" w:eastAsia="Calibri" w:hAnsi="Calibri"/>
          <w:color w:val="000000"/>
        </w:rPr>
      </w:pPr>
      <w:r w:rsidDel="00000000" w:rsidR="00000000" w:rsidRPr="00000000">
        <w:rPr>
          <w:rFonts w:ascii="Calibri" w:cs="Calibri" w:eastAsia="Calibri" w:hAnsi="Calibri"/>
          <w:color w:val="000000"/>
          <w:rtl w:val="0"/>
        </w:rPr>
        <w:t xml:space="preserve">5.3. All fundraising through activities (such </w:t>
      </w:r>
      <w:r w:rsidDel="00000000" w:rsidR="00000000" w:rsidRPr="00000000">
        <w:rPr>
          <w:rFonts w:ascii="Calibri" w:cs="Calibri" w:eastAsia="Calibri" w:hAnsi="Calibri"/>
          <w:rtl w:val="0"/>
        </w:rPr>
        <w:t xml:space="preserve">as raffles</w:t>
      </w:r>
      <w:r w:rsidDel="00000000" w:rsidR="00000000" w:rsidRPr="00000000">
        <w:rPr>
          <w:rFonts w:ascii="Calibri" w:cs="Calibri" w:eastAsia="Calibri" w:hAnsi="Calibri"/>
          <w:color w:val="000000"/>
          <w:rtl w:val="0"/>
        </w:rPr>
        <w:t xml:space="preserve">, lotteries, etc) must comply with the  relevant legislation and must meet relevant licensing requirements.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13" w:line="240" w:lineRule="auto"/>
        <w:ind w:left="36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5.4. Funds raised will be reported to the membership regularly.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35" w:line="240" w:lineRule="auto"/>
        <w:ind w:left="8" w:firstLine="0"/>
        <w:rPr>
          <w:rFonts w:ascii="Calibri" w:cs="Calibri" w:eastAsia="Calibri" w:hAnsi="Calibri"/>
          <w:color w:val="2f5496"/>
          <w:sz w:val="25"/>
          <w:szCs w:val="25"/>
        </w:rPr>
      </w:pPr>
      <w:r w:rsidDel="00000000" w:rsidR="00000000" w:rsidRPr="00000000">
        <w:rPr>
          <w:rFonts w:ascii="Calibri" w:cs="Calibri" w:eastAsia="Calibri" w:hAnsi="Calibri"/>
          <w:color w:val="2f5496"/>
          <w:sz w:val="25"/>
          <w:szCs w:val="25"/>
          <w:rtl w:val="0"/>
        </w:rPr>
        <w:t xml:space="preserve">6. Donations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38" w:line="261" w:lineRule="auto"/>
        <w:ind w:left="788" w:right="170" w:hanging="42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6.1. The ALT may accept donations that it believes can further its objects. It reserves the right  to refuse or return donations in exceptional circumstances that it believes could harm the  charity, its reputation, or its ability to meet its stated objects.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12" w:line="261.99999999999994" w:lineRule="auto"/>
        <w:ind w:left="788" w:right="132" w:hanging="423"/>
        <w:rPr>
          <w:rFonts w:ascii="Calibri" w:cs="Calibri" w:eastAsia="Calibri" w:hAnsi="Calibri"/>
          <w:color w:val="000000"/>
        </w:rPr>
      </w:pPr>
      <w:r w:rsidDel="00000000" w:rsidR="00000000" w:rsidRPr="00000000">
        <w:rPr>
          <w:rFonts w:ascii="Calibri" w:cs="Calibri" w:eastAsia="Calibri" w:hAnsi="Calibri"/>
          <w:color w:val="000000"/>
          <w:rtl w:val="0"/>
        </w:rPr>
        <w:t xml:space="preserve">6.2. Final determination of acceptance of a donation will lie with the Board of Trustees. In  determining this, the Board shall have recourse to the relevant legislation, as well as best  practice guidance published by the Institute of Fundraising, the </w:t>
      </w:r>
      <w:r w:rsidDel="00000000" w:rsidR="00000000" w:rsidRPr="00000000">
        <w:rPr>
          <w:rFonts w:ascii="Calibri" w:cs="Calibri" w:eastAsia="Calibri" w:hAnsi="Calibri"/>
          <w:color w:val="0563c1"/>
          <w:u w:val="single"/>
          <w:rtl w:val="0"/>
        </w:rPr>
        <w:t xml:space="preserve">Fundraising Regulator</w:t>
      </w:r>
      <w:r w:rsidDel="00000000" w:rsidR="00000000" w:rsidRPr="00000000">
        <w:rPr>
          <w:rFonts w:ascii="Calibri" w:cs="Calibri" w:eastAsia="Calibri" w:hAnsi="Calibri"/>
          <w:color w:val="000000"/>
          <w:rtl w:val="0"/>
        </w:rPr>
        <w:t xml:space="preserve">, and  the Charities Commission.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12" w:line="261.99999999999994" w:lineRule="auto"/>
        <w:ind w:left="364" w:right="6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6.3. In the first instance, the Treasurer shall notify the Board of any donations exceeding £500 or any donations about which there may be a conflict of interest or ethical query.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12" w:line="261.99999999999994" w:lineRule="auto"/>
        <w:ind w:left="364" w:right="6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6.4. The Board of Trustees shall discuss the donation within a reasonable time, having recourse  to the relevant documents. While ethics and values may inform the Board’s discussion, this  may not be the sole reason for refusal or return of a donation. If the Board determines that  acceptance of the donation could result in any of the following, it may refuse or return the  donation: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12" w:line="240" w:lineRule="auto"/>
        <w:ind w:left="72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6.4.1. Undermining the integrity of the ALT, or its values or objects, or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32" w:line="240" w:lineRule="auto"/>
        <w:ind w:left="72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6.4.2. Detrimental to the achievement of the ALT’s purposes or its reputation, or</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32" w:line="240" w:lineRule="auto"/>
        <w:ind w:left="72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6.4.3. A disproportionate decrease in future donations owing to the detrimental impact on  the charity from acceptance of the donation, or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11" w:line="240" w:lineRule="auto"/>
        <w:ind w:left="72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6.4.4. A loss of volunteers or staff, or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30" w:line="261.99999999999994" w:lineRule="auto"/>
        <w:ind w:left="1227" w:right="60" w:hanging="502"/>
        <w:rPr>
          <w:rFonts w:ascii="Calibri" w:cs="Calibri" w:eastAsia="Calibri" w:hAnsi="Calibri"/>
          <w:color w:val="000000"/>
        </w:rPr>
      </w:pPr>
      <w:r w:rsidDel="00000000" w:rsidR="00000000" w:rsidRPr="00000000">
        <w:rPr>
          <w:rFonts w:ascii="Calibri" w:cs="Calibri" w:eastAsia="Calibri" w:hAnsi="Calibri"/>
          <w:color w:val="000000"/>
          <w:rtl w:val="0"/>
        </w:rPr>
        <w:t xml:space="preserve">6.4.5. Any potential risk to the reputation of the ALT or adverse publicity resulting from the  donation.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11" w:line="261" w:lineRule="auto"/>
        <w:ind w:left="364" w:right="181"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6.5. Donations made from unknown sources of funding shall be fully investigated until the  Board is satisfied that the donation is in line with the aims, objects and values of the ALT.</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11" w:line="261" w:lineRule="auto"/>
        <w:ind w:left="364" w:right="181"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6.6. Donations resulting from unlawful activity will be refused.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12" w:line="261.99999999999994" w:lineRule="auto"/>
        <w:ind w:left="364" w:right="271"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6.7. Donations requiring undue expenditure or significant additional resources by or from the  ALT will be carefully considered by the Board, which may decide to refuse the donation.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12" w:line="261.99999999999994" w:lineRule="auto"/>
        <w:ind w:left="364" w:right="271"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6.8. In determining the acceptance of a donation, the Board shall reach a decision and  communicate this to the donor, clearly setting out its reasons.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12" w:line="261.99999999999994" w:lineRule="auto"/>
        <w:ind w:left="795" w:right="-3" w:hanging="430"/>
        <w:rPr>
          <w:rFonts w:ascii="Calibri" w:cs="Calibri" w:eastAsia="Calibri" w:hAnsi="Calibri"/>
          <w:color w:val="000000"/>
        </w:rPr>
      </w:pPr>
      <w:r w:rsidDel="00000000" w:rsidR="00000000" w:rsidRPr="00000000">
        <w:rPr>
          <w:rFonts w:ascii="Calibri" w:cs="Calibri" w:eastAsia="Calibri" w:hAnsi="Calibri"/>
          <w:color w:val="000000"/>
          <w:rtl w:val="0"/>
        </w:rPr>
        <w:t xml:space="preserve">6.9. There is an assumption of full disclosure of all donations. If you wish to make an anonymous  donation or gift, this must be clearly stated.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12" w:line="261" w:lineRule="auto"/>
        <w:ind w:left="788" w:right="75" w:hanging="42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6.10. The ALT will always aim to follow instructions accompanying donations. If you wish  to make a donation for a specific purpose, please discuss this with the Chair or Treasurer in  advance.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15" w:line="240" w:lineRule="auto"/>
        <w:ind w:left="6" w:firstLine="0"/>
        <w:rPr>
          <w:rFonts w:ascii="Calibri" w:cs="Calibri" w:eastAsia="Calibri" w:hAnsi="Calibri"/>
          <w:color w:val="2f5496"/>
          <w:sz w:val="25"/>
          <w:szCs w:val="25"/>
        </w:rPr>
      </w:pPr>
      <w:r w:rsidDel="00000000" w:rsidR="00000000" w:rsidRPr="00000000">
        <w:rPr>
          <w:rFonts w:ascii="Calibri" w:cs="Calibri" w:eastAsia="Calibri" w:hAnsi="Calibri"/>
          <w:color w:val="2f5496"/>
          <w:sz w:val="25"/>
          <w:szCs w:val="25"/>
          <w:rtl w:val="0"/>
        </w:rPr>
        <w:t xml:space="preserve">7. Legacies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38" w:line="261" w:lineRule="auto"/>
        <w:ind w:left="789" w:right="161" w:hanging="425"/>
        <w:rPr>
          <w:rFonts w:ascii="Calibri" w:cs="Calibri" w:eastAsia="Calibri" w:hAnsi="Calibri"/>
          <w:color w:val="000000"/>
        </w:rPr>
      </w:pPr>
      <w:r w:rsidDel="00000000" w:rsidR="00000000" w:rsidRPr="00000000">
        <w:rPr>
          <w:rFonts w:ascii="Calibri" w:cs="Calibri" w:eastAsia="Calibri" w:hAnsi="Calibri"/>
          <w:color w:val="000000"/>
          <w:rtl w:val="0"/>
        </w:rPr>
        <w:t xml:space="preserve">7.1. The ALT recognises the sensitive nature of legacies but also appreciates their value to the  furtherance of the objects of the charity. The ALT has the power to receive legacies and  gifts pursuant to clause 4(6) of the constitution.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12" w:line="261.99999999999994" w:lineRule="auto"/>
        <w:ind w:left="363" w:right="24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7.2. The ALT cannot offer legal advice and recommends impartial advice is taken.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12" w:line="261.99999999999994" w:lineRule="auto"/>
        <w:ind w:left="363" w:right="24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7.3. If you wish to leave a legacy please discuss the details of this with the Treasurer</w:t>
      </w:r>
      <w:r w:rsidDel="00000000" w:rsidR="00000000" w:rsidRPr="00000000">
        <w:rPr>
          <w:rFonts w:ascii="Calibri" w:cs="Calibri" w:eastAsia="Calibri" w:hAnsi="Calibri"/>
          <w:rtl w:val="0"/>
        </w:rPr>
        <w:t xml:space="preserve"> or</w:t>
      </w:r>
      <w:r w:rsidDel="00000000" w:rsidR="00000000" w:rsidRPr="00000000">
        <w:rPr>
          <w:rFonts w:ascii="Calibri" w:cs="Calibri" w:eastAsia="Calibri" w:hAnsi="Calibri"/>
          <w:color w:val="000000"/>
          <w:rtl w:val="0"/>
        </w:rPr>
        <w:t xml:space="preserve"> Chair, or  members of the Board in advance to ensure that the ALT is able to follow your  instructions.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14" w:line="240" w:lineRule="auto"/>
        <w:ind w:left="4" w:firstLine="0"/>
        <w:rPr>
          <w:rFonts w:ascii="Calibri" w:cs="Calibri" w:eastAsia="Calibri" w:hAnsi="Calibri"/>
          <w:color w:val="2f5496"/>
          <w:sz w:val="25"/>
          <w:szCs w:val="25"/>
        </w:rPr>
      </w:pPr>
      <w:r w:rsidDel="00000000" w:rsidR="00000000" w:rsidRPr="00000000">
        <w:rPr>
          <w:rFonts w:ascii="Calibri" w:cs="Calibri" w:eastAsia="Calibri" w:hAnsi="Calibri"/>
          <w:color w:val="2f5496"/>
          <w:sz w:val="25"/>
          <w:szCs w:val="25"/>
          <w:rtl w:val="0"/>
        </w:rPr>
        <w:t xml:space="preserve">8. Gift Aid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38" w:line="240" w:lineRule="auto"/>
        <w:ind w:left="36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8.1. The ALT is registered for </w:t>
      </w:r>
      <w:r w:rsidDel="00000000" w:rsidR="00000000" w:rsidRPr="00000000">
        <w:rPr>
          <w:rFonts w:ascii="Calibri" w:cs="Calibri" w:eastAsia="Calibri" w:hAnsi="Calibri"/>
          <w:color w:val="0563c1"/>
          <w:u w:val="single"/>
          <w:rtl w:val="0"/>
        </w:rPr>
        <w:t xml:space="preserve">Gift Aid</w:t>
      </w:r>
      <w:r w:rsidDel="00000000" w:rsidR="00000000" w:rsidRPr="00000000">
        <w:rPr>
          <w:rFonts w:ascii="Calibri" w:cs="Calibri" w:eastAsia="Calibri" w:hAnsi="Calibri"/>
          <w:color w:val="0563c1"/>
          <w:rtl w:val="0"/>
        </w:rPr>
        <w:t xml:space="preserve"> </w:t>
      </w:r>
      <w:r w:rsidDel="00000000" w:rsidR="00000000" w:rsidRPr="00000000">
        <w:rPr>
          <w:rFonts w:ascii="Calibri" w:cs="Calibri" w:eastAsia="Calibri" w:hAnsi="Calibri"/>
          <w:color w:val="000000"/>
          <w:rtl w:val="0"/>
        </w:rPr>
        <w:t xml:space="preserve">on donations.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30" w:line="240" w:lineRule="auto"/>
        <w:ind w:left="36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8.2. The ALT will act in compliance with the </w:t>
      </w:r>
      <w:r w:rsidDel="00000000" w:rsidR="00000000" w:rsidRPr="00000000">
        <w:rPr>
          <w:rFonts w:ascii="Calibri" w:cs="Calibri" w:eastAsia="Calibri" w:hAnsi="Calibri"/>
          <w:color w:val="0563c1"/>
          <w:u w:val="single"/>
          <w:rtl w:val="0"/>
        </w:rPr>
        <w:t xml:space="preserve">HMRC Gift Aid scheme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35" w:line="240" w:lineRule="auto"/>
        <w:ind w:left="4" w:firstLine="0"/>
        <w:rPr>
          <w:rFonts w:ascii="Calibri" w:cs="Calibri" w:eastAsia="Calibri" w:hAnsi="Calibri"/>
          <w:color w:val="2f5496"/>
          <w:sz w:val="25"/>
          <w:szCs w:val="25"/>
        </w:rPr>
      </w:pPr>
      <w:r w:rsidDel="00000000" w:rsidR="00000000" w:rsidRPr="00000000">
        <w:rPr>
          <w:rFonts w:ascii="Calibri" w:cs="Calibri" w:eastAsia="Calibri" w:hAnsi="Calibri"/>
          <w:color w:val="2f5496"/>
          <w:sz w:val="25"/>
          <w:szCs w:val="25"/>
          <w:rtl w:val="0"/>
        </w:rPr>
        <w:t xml:space="preserve">9. Donor recognition and research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38" w:line="261.99999999999994" w:lineRule="auto"/>
        <w:ind w:left="795" w:right="1063" w:hanging="433"/>
        <w:rPr>
          <w:rFonts w:ascii="Calibri" w:cs="Calibri" w:eastAsia="Calibri" w:hAnsi="Calibri"/>
          <w:color w:val="000000"/>
        </w:rPr>
      </w:pPr>
      <w:r w:rsidDel="00000000" w:rsidR="00000000" w:rsidRPr="00000000">
        <w:rPr>
          <w:rFonts w:ascii="Calibri" w:cs="Calibri" w:eastAsia="Calibri" w:hAnsi="Calibri"/>
          <w:color w:val="000000"/>
          <w:rtl w:val="0"/>
        </w:rPr>
        <w:t xml:space="preserve">9.1. The ALT is keen to recognise and celebrate its donors, and gifts received will be  acknowledged by the Board of Trustees.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9" w:line="261.99999999999994" w:lineRule="auto"/>
        <w:ind w:left="788" w:right="95" w:hanging="426"/>
        <w:rPr>
          <w:rFonts w:ascii="Calibri" w:cs="Calibri" w:eastAsia="Calibri" w:hAnsi="Calibri"/>
          <w:color w:val="000000"/>
        </w:rPr>
      </w:pPr>
      <w:r w:rsidDel="00000000" w:rsidR="00000000" w:rsidRPr="00000000">
        <w:rPr>
          <w:rFonts w:ascii="Calibri" w:cs="Calibri" w:eastAsia="Calibri" w:hAnsi="Calibri"/>
          <w:color w:val="000000"/>
          <w:rtl w:val="0"/>
        </w:rPr>
        <w:t xml:space="preserve">9.2. The ALT will retain details of donations and gifts in accordance with the Data Protection  Act and GDPR and the ALT Privacy Policy. Data protection will be subject to regular review  by the Board of Trustees in line with best practice and guidance from the </w:t>
      </w:r>
      <w:r w:rsidDel="00000000" w:rsidR="00000000" w:rsidRPr="00000000">
        <w:rPr>
          <w:rFonts w:ascii="Calibri" w:cs="Calibri" w:eastAsia="Calibri" w:hAnsi="Calibri"/>
          <w:color w:val="0563c1"/>
          <w:u w:val="single"/>
          <w:rtl w:val="0"/>
        </w:rPr>
        <w:t xml:space="preserve">Information </w:t>
      </w:r>
      <w:r w:rsidDel="00000000" w:rsidR="00000000" w:rsidRPr="00000000">
        <w:rPr>
          <w:rFonts w:ascii="Calibri" w:cs="Calibri" w:eastAsia="Calibri" w:hAnsi="Calibri"/>
          <w:color w:val="0563c1"/>
          <w:rtl w:val="0"/>
        </w:rPr>
        <w:t xml:space="preserve"> </w:t>
      </w:r>
      <w:r w:rsidDel="00000000" w:rsidR="00000000" w:rsidRPr="00000000">
        <w:rPr>
          <w:rFonts w:ascii="Calibri" w:cs="Calibri" w:eastAsia="Calibri" w:hAnsi="Calibri"/>
          <w:color w:val="0563c1"/>
          <w:u w:val="single"/>
          <w:rtl w:val="0"/>
        </w:rPr>
        <w:t xml:space="preserve">Commissioner’s Office (ICO)</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11" w:line="240" w:lineRule="auto"/>
        <w:ind w:left="17" w:firstLine="0"/>
        <w:rPr>
          <w:rFonts w:ascii="Calibri" w:cs="Calibri" w:eastAsia="Calibri" w:hAnsi="Calibri"/>
          <w:color w:val="2f5496"/>
          <w:sz w:val="25"/>
          <w:szCs w:val="25"/>
        </w:rPr>
      </w:pPr>
      <w:r w:rsidDel="00000000" w:rsidR="00000000" w:rsidRPr="00000000">
        <w:rPr>
          <w:rFonts w:ascii="Calibri" w:cs="Calibri" w:eastAsia="Calibri" w:hAnsi="Calibri"/>
          <w:color w:val="2f5496"/>
          <w:sz w:val="25"/>
          <w:szCs w:val="25"/>
          <w:rtl w:val="0"/>
        </w:rPr>
        <w:t xml:space="preserve">10.Vulnerable People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38" w:line="261.99999999999994" w:lineRule="auto"/>
        <w:ind w:left="795" w:right="224" w:hanging="423"/>
        <w:rPr>
          <w:rFonts w:ascii="Calibri" w:cs="Calibri" w:eastAsia="Calibri" w:hAnsi="Calibri"/>
          <w:color w:val="000000"/>
        </w:rPr>
      </w:pPr>
      <w:r w:rsidDel="00000000" w:rsidR="00000000" w:rsidRPr="00000000">
        <w:rPr>
          <w:rFonts w:ascii="Calibri" w:cs="Calibri" w:eastAsia="Calibri" w:hAnsi="Calibri"/>
          <w:color w:val="000000"/>
          <w:rtl w:val="0"/>
        </w:rPr>
        <w:t xml:space="preserve">10.1. The ALT takes seriously its responsibilities to vulnerable people under the Mental  Capacity Act 2005 and the Equality Act 2010.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11" w:line="261" w:lineRule="auto"/>
        <w:ind w:left="794" w:right="422" w:hanging="422"/>
        <w:rPr>
          <w:rFonts w:ascii="Calibri" w:cs="Calibri" w:eastAsia="Calibri" w:hAnsi="Calibri"/>
          <w:color w:val="000000"/>
        </w:rPr>
      </w:pPr>
      <w:r w:rsidDel="00000000" w:rsidR="00000000" w:rsidRPr="00000000">
        <w:rPr>
          <w:rFonts w:ascii="Calibri" w:cs="Calibri" w:eastAsia="Calibri" w:hAnsi="Calibri"/>
          <w:color w:val="000000"/>
          <w:rtl w:val="0"/>
        </w:rPr>
        <w:t xml:space="preserve">10.2. Larger donations and gifts will be flagged by the Treasurer, and any questions of  capacity or vulnerability will be examined.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15" w:line="240" w:lineRule="auto"/>
        <w:ind w:left="17" w:firstLine="0"/>
        <w:rPr>
          <w:rFonts w:ascii="Calibri" w:cs="Calibri" w:eastAsia="Calibri" w:hAnsi="Calibri"/>
          <w:color w:val="2f5496"/>
          <w:sz w:val="25"/>
          <w:szCs w:val="25"/>
        </w:rPr>
      </w:pPr>
      <w:r w:rsidDel="00000000" w:rsidR="00000000" w:rsidRPr="00000000">
        <w:rPr>
          <w:rFonts w:ascii="Calibri" w:cs="Calibri" w:eastAsia="Calibri" w:hAnsi="Calibri"/>
          <w:color w:val="2f5496"/>
          <w:sz w:val="25"/>
          <w:szCs w:val="25"/>
          <w:rtl w:val="0"/>
        </w:rPr>
        <w:t xml:space="preserve">11.Complaints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38" w:line="261.99999999999994" w:lineRule="auto"/>
        <w:ind w:left="372" w:right="165"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11.1. The ALT will respond to all complaints within a reasonable time and in a fair, open  and honest manner. This will be carried out in accordance with the complaints policy.</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1216" w:line="240" w:lineRule="auto"/>
        <w:ind w:right="34"/>
        <w:jc w:val="right"/>
        <w:rPr>
          <w:rFonts w:ascii="Calibri" w:cs="Calibri" w:eastAsia="Calibri" w:hAnsi="Calibri"/>
          <w:color w:val="000000"/>
        </w:rPr>
      </w:pPr>
      <w:bookmarkStart w:colFirst="0" w:colLast="0" w:name="_gjdgxs" w:id="0"/>
      <w:bookmarkEnd w:id="0"/>
      <w:r w:rsidDel="00000000" w:rsidR="00000000" w:rsidRPr="00000000">
        <w:rPr>
          <w:rFonts w:ascii="Calibri" w:cs="Calibri" w:eastAsia="Calibri" w:hAnsi="Calibri"/>
          <w:color w:val="000000"/>
          <w:rtl w:val="0"/>
        </w:rPr>
        <w:t xml:space="preserve">3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15" w:line="245" w:lineRule="auto"/>
        <w:ind w:left="8" w:right="358" w:hanging="7"/>
        <w:rPr>
          <w:rFonts w:ascii="Calibri" w:cs="Calibri" w:eastAsia="Calibri" w:hAnsi="Calibri"/>
          <w:color w:val="767171"/>
          <w:sz w:val="19"/>
          <w:szCs w:val="19"/>
        </w:rPr>
      </w:pPr>
      <w:r w:rsidDel="00000000" w:rsidR="00000000" w:rsidRPr="00000000">
        <w:rPr>
          <w:rtl w:val="0"/>
        </w:rPr>
      </w:r>
    </w:p>
    <w:sectPr>
      <w:pgSz w:h="16820" w:w="11900" w:orient="portrait"/>
      <w:pgMar w:bottom="758" w:top="696" w:left="1447" w:right="139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