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ALT Bullying and Harassment Policy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792" w:line="240" w:lineRule="auto"/>
        <w:ind w:left="1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Principles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59" w:line="280" w:lineRule="auto"/>
        <w:ind w:right="325" w:firstLine="1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Everyone will be treated with dignity and respect at the ALT. Bullying and harassment of any kind are in no-one's interest and will not be tolerated; this includes bullying or harassment of volunteers by those taking part in ALT events. This policy applies to all Trustees, members, volunteers and staff. Bullying and harassment will be treated as disciplinary offences.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755"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Anti-Harassment Policy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55" w:line="281" w:lineRule="auto"/>
        <w:ind w:left="9" w:right="-4" w:hanging="9"/>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ALT believes that every person should be treated with dignity and respect.  Harassment of colleagues or staff is unacceptable conduct. The highest standards of conduct are required of everyone regardless of seniority.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750" w:line="280" w:lineRule="auto"/>
        <w:ind w:left="16" w:right="13" w:hanging="16"/>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ALT recognises that harassment may take many forms. It may be directed towards persons of </w:t>
      </w:r>
      <w:r w:rsidDel="00000000" w:rsidR="00000000" w:rsidRPr="00000000">
        <w:rPr>
          <w:rFonts w:ascii="Calibri" w:cs="Calibri" w:eastAsia="Calibri" w:hAnsi="Calibri"/>
          <w:color w:val="000000"/>
          <w:sz w:val="24"/>
          <w:szCs w:val="24"/>
          <w:rtl w:val="0"/>
        </w:rPr>
        <w:t xml:space="preserve">either sex. It may be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on any ground such as sex, race, colour, language, religion, political or other opinion, national or social origin, association with a national minority, property, birth or other status.</w:t>
      </w:r>
    </w:p>
    <w:p w:rsidR="00000000" w:rsidDel="00000000" w:rsidP="00000000" w:rsidRDefault="00000000" w:rsidRPr="00000000" w14:paraId="00000008">
      <w:pPr>
        <w:widowControl w:val="0"/>
        <w:spacing w:before="750" w:line="280" w:lineRule="auto"/>
        <w:ind w:left="16" w:right="13"/>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Harassment is unwanted </w:t>
      </w:r>
      <w:r w:rsidDel="00000000" w:rsidR="00000000" w:rsidRPr="00000000">
        <w:rPr>
          <w:rFonts w:ascii="Calibri" w:cs="Calibri" w:eastAsia="Calibri" w:hAnsi="Calibri"/>
          <w:color w:val="1e1e1e"/>
          <w:sz w:val="24"/>
          <w:szCs w:val="24"/>
          <w:highlight w:val="white"/>
          <w:rtl w:val="0"/>
        </w:rPr>
        <w:t xml:space="preserve">conduct which has the purpose or effect of violating B's dignity, or creating an intimidating, hostile, degrading, humiliating or offensive environment for B</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rtl w:val="0"/>
        </w:rPr>
        <w:t xml:space="preserve">These terms bear the same meaning as in section 26 of the Equality Act 2010, as interpreted by the UK courts and tribunals.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749" w:line="280" w:lineRule="auto"/>
        <w:ind w:left="2" w:right="233" w:firstLine="1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Harassment may involve action or inaction, behaviour, exclusion, comment or physical contact that the recipient finds objectionable or offensive. It may result in the recipient feeling threatened, humiliated, intimidated, patronised, demoralised or less confident in their ability. Condoning such conduct may be harassment in itself. The test of harassment is, at least in part, subjective.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1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Examples of potentially unacceptable conduct include: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804" w:line="281" w:lineRule="auto"/>
        <w:ind w:left="733" w:right="186" w:hanging="363"/>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verbal abuse, or insulting behaviour, comments, jokes or gestures of an offensive,  insensitive or intimidating nature, for example of a sexist or racist nature, about an  individual's sexual orientation or about an individual's physical or mental attributes;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26" w:line="281" w:lineRule="auto"/>
        <w:ind w:left="722" w:right="29" w:hanging="351"/>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the display or circulation of sexually suggestive or racially abusive material (including e-mails, text messages, video clips and images sent by mobile phone or posted on  the internet);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26" w:line="459" w:lineRule="auto"/>
        <w:ind w:left="720" w:right="1678"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shouting at, being sarcastic towards, ridiculing or demeaning others;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26" w:line="459" w:lineRule="auto"/>
        <w:ind w:left="720" w:right="1678"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physical or psychological threats;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47" w:line="281" w:lineRule="auto"/>
        <w:ind w:left="729" w:right="782" w:hanging="358"/>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the ridicule or exclusion of an individual, for example, for cultural or religious differences, on the grounds of sex or sexual orientation or on the grounds of  disability;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26" w:line="280" w:lineRule="auto"/>
        <w:ind w:left="729" w:right="339" w:hanging="358"/>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unwanted physical conduct or “horseplay” and unsolicited or unwelcome sexual advances or suggestive behaviour (which the harasser may perceive as harmless), including touching, staring or commenting, pushing, grabbing, invading their personal space and more serious forms of physical or sexual assault;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27" w:line="240" w:lineRule="auto"/>
        <w:ind w:left="370" w:firstLine="0"/>
        <w:rPr>
          <w:rFonts w:ascii="Calibri" w:cs="Calibri" w:eastAsia="Calibri" w:hAnsi="Calibri"/>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comments of a sexual nature about a person's appearance or dress.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795" w:line="279" w:lineRule="auto"/>
        <w:ind w:left="8" w:right="-8" w:hanging="8"/>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ALT will take allegations of harassment seriously. Harassment by a member or delegate could result in termination of membership. Our complaints policy and </w:t>
      </w:r>
      <w:r w:rsidDel="00000000" w:rsidR="00000000" w:rsidRPr="00000000">
        <w:rPr>
          <w:rFonts w:ascii="Calibri" w:cs="Calibri" w:eastAsia="Calibri" w:hAnsi="Calibri"/>
          <w:color w:val="000000"/>
          <w:sz w:val="24"/>
          <w:szCs w:val="24"/>
          <w:rtl w:val="0"/>
        </w:rPr>
        <w:t xml:space="preserve">termination of membership policy </w:t>
      </w:r>
      <w:r w:rsidDel="00000000" w:rsidR="00000000" w:rsidRPr="00000000">
        <w:rPr>
          <w:rFonts w:ascii="Calibri" w:cs="Calibri" w:eastAsia="Calibri" w:hAnsi="Calibri"/>
          <w:color w:val="000000"/>
          <w:sz w:val="24"/>
          <w:szCs w:val="24"/>
          <w:rtl w:val="0"/>
        </w:rPr>
        <w:t xml:space="preserve">set out our procedures for dealing with such issues.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72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 Record</w:t>
      </w:r>
    </w:p>
    <w:tbl>
      <w:tblPr>
        <w:tblStyle w:val="Table1"/>
        <w:tblW w:w="901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4"/>
        <w:gridCol w:w="1364"/>
        <w:gridCol w:w="5882"/>
        <w:tblGridChange w:id="0">
          <w:tblGrid>
            <w:gridCol w:w="1764"/>
            <w:gridCol w:w="1364"/>
            <w:gridCol w:w="5882"/>
          </w:tblGrid>
        </w:tblGridChange>
      </w:tblGrid>
      <w:tr>
        <w:trPr>
          <w:cantSplit w:val="0"/>
          <w:trHeight w:val="6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of Change: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Changed By: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6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Comments:</w:t>
            </w:r>
          </w:p>
        </w:tc>
      </w:tr>
      <w:tr>
        <w:trPr>
          <w:cantSplit w:val="0"/>
          <w:trHeight w:val="6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88" w:firstLine="0"/>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80" w:firstLine="0"/>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80" w:firstLine="0"/>
              <w:rPr>
                <w:rFonts w:ascii="Calibri" w:cs="Calibri" w:eastAsia="Calibri" w:hAnsi="Calibri"/>
                <w:color w:val="000000"/>
                <w:sz w:val="24"/>
                <w:szCs w:val="24"/>
              </w:rPr>
            </w:pPr>
            <w:bookmarkStart w:colFirst="0" w:colLast="0" w:name="_gjdgxs" w:id="0"/>
            <w:bookmarkEnd w:id="0"/>
            <w:r w:rsidDel="00000000" w:rsidR="00000000" w:rsidRPr="00000000">
              <w:rPr>
                <w:rFonts w:ascii="Calibri" w:cs="Calibri" w:eastAsia="Calibri" w:hAnsi="Calibri"/>
                <w:color w:val="000000"/>
                <w:sz w:val="24"/>
                <w:szCs w:val="24"/>
                <w:highlight w:val="yellow"/>
                <w:rtl w:val="0"/>
              </w:rPr>
              <w:t xml:space="preserve">Policy approved by the Trustees</w:t>
            </w:r>
            <w:r w:rsidDel="00000000" w:rsidR="00000000" w:rsidRPr="00000000">
              <w:rPr>
                <w:rtl w:val="0"/>
              </w:rPr>
            </w:r>
          </w:p>
        </w:tc>
      </w:tr>
      <w:tr>
        <w:trPr>
          <w:cantSplit w:val="0"/>
          <w:trHeight w:val="6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65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2.99999999999997" w:lineRule="auto"/>
        <w:ind w:left="16" w:right="258" w:hanging="10"/>
        <w:rPr>
          <w:rFonts w:ascii="Calibri" w:cs="Calibri" w:eastAsia="Calibri" w:hAnsi="Calibri"/>
          <w:color w:val="000000"/>
        </w:rPr>
      </w:pPr>
      <w:r w:rsidDel="00000000" w:rsidR="00000000" w:rsidRPr="00000000">
        <w:rPr>
          <w:rtl w:val="0"/>
        </w:rPr>
      </w:r>
    </w:p>
    <w:sectPr>
      <w:pgSz w:h="16820" w:w="11900" w:orient="portrait"/>
      <w:pgMar w:bottom="1032" w:top="708" w:left="1442" w:right="139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